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0"/>
      </w:tblGrid>
      <w:tr>
        <w:tc>
          <w:tcPr>
            <w:tcW w:type="dxa" w:w="9000"/>
            <w:tcBorders>
              <w:top w:val="single" w:color="000000" w:sz="12"/>
              <w:left w:val="single" w:color="000000" w:sz="12"/>
              <w:bottom w:val="single" w:color="000000" w:sz="12"/>
              <w:right w:val="single" w:color="000000" w:sz="12"/>
            </w:tcBorders>
            <w:tcMar>
              <w:top w:type="dxa" w:w="220"/>
              <w:left w:type="dxa" w:w="200"/>
              <w:bottom w:type="dxa" w:w="220"/>
              <w:right w:type="dxa" w:w="200"/>
            </w:tcMar>
          </w:tcPr>
          <w:p>
            <w:pPr>
              <w:spacing w:after="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PROCESO ELECTORAL 2026</w:t>
            </w:r>
          </w:p>
          <w:p>
            <w:pPr>
              <w:spacing w:after="1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FEDERACIÓN CANARIA DE AUTOMOVILISMO</w:t>
            </w:r>
          </w:p>
          <w:p>
            <w:pPr>
              <w:spacing w:after="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ELECCIONES A LA ASAMBLEA</w:t>
            </w:r>
          </w:p>
          <w:p>
            <w:pPr>
              <w:spacing w:after="1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DE LA FEDERACIÓN INTERINSULAR DE AUTOMOVILISMO DE SANTA CRUZ DE TENERIFE (FIASCT)</w:t>
            </w:r>
          </w:p>
          <w:p>
            <w:pPr>
              <w:spacing w:after="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4"/>
                <w:szCs w:val="24"/>
              </w:rPr>
              <w:t xml:space="preserve">ESTAMENTO DE OFICIALES</w:t>
            </w:r>
          </w:p>
          <w:p>
            <w:pPr>
              <w:spacing w:after="1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CIRCUNSCRIPCIÓN ÚNICA DE LA FIASCT</w:t>
            </w:r>
          </w:p>
          <w:p>
            <w:pPr>
              <w:spacing w:after="1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NÚMERO DE REPRESENTANTES DEL ESTAMENTO A ELEGIR: 14</w:t>
            </w:r>
          </w:p>
          <w:p>
            <w:pPr>
              <w:spacing w:after="120" w:before="0" w:line="240"/>
              <w:jc w:val="left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>Doy mi voto a los candidatos marcados con una X:</w:t>
            </w:r>
          </w:p>
          <w:tbl>
            <w:tblPr>
              <w:tblW w:type="dxa" w:w="802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20"/>
              <w:gridCol w:w="3580"/>
              <w:gridCol w:w="420"/>
              <w:gridCol w:w="3580"/>
            </w:tblGrid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1. Alberto Hernández del Rosario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17. José Andrés Negrín Alonso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2. Alexis J. Marichal Morales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18. José Manuel Velázquez Padilla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3. Ana Negrín Marrero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19. Julio C. Martínez Álvarez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4. Carlos Suárez Pérez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20. María Natividad Sánchez Fernández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5. Carmen María Yanes Gutiérrez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21. Miguel Ángel Martín García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6. Celestino Díaz Pérez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22. Miguel Rodríguez Domínguez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7. Eva Farrais Cabrera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23. Moisés Martín Fariña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8. Gregorio Hernández García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24. Policarpo Delgado Rancel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9. Guzmán González González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25. Raquel Rodríguez Luis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10. Iván Dorta Morales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26. Ricardo Pérez Vilariño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11. Jacob Febles Aguilar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27. Rosa Delia Bello Delgado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12. Jesús Alberto García Llarena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28. Sergio Reverón Pérez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13. Jesús E. Martínez Álvarez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29. Silvia M. Mora Rodríguez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14. Jesús M. Méndez Canino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30. Tamara Farrais Herrera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15. Jesús Miguel Márquez de la Rosa</w:t>
                  </w:r>
                </w:p>
              </w:tc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31. Víctor Ulises García Pérez</w:t>
                  </w:r>
                </w:p>
              </w:tc>
            </w:tr>
            <w:tr>
              <w:tc>
                <w:tcPr>
                  <w:tcW w:type="dxa" w:w="420"/>
                  <w:tcBorders>
                    <w:top w:val="single" w:color="000000" w:sz="6"/>
                    <w:left w:val="single" w:color="000000" w:sz="6"/>
                    <w:bottom w:val="single" w:color="000000" w:sz="6"/>
                    <w:right w:val="single" w:color="000000" w:sz="6"/>
                  </w:tcBorders>
                  <w:tcMar>
                    <w:top w:type="dxa" w:w="40"/>
                    <w:left w:type="dxa" w:w="40"/>
                    <w:bottom w:type="dxa" w:w="40"/>
                    <w:right w:type="dxa" w:w="40"/>
                  </w:tcMar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20"/>
                    <w:left w:type="dxa" w:w="120"/>
                    <w:bottom w:type="dxa" w:w="20"/>
                    <w:right w:type="dxa" w:w="60"/>
                  </w:tcMar>
                  <w:vAlign w:val="center"/>
                </w:tcPr>
                <w:p>
                  <w:pPr>
                    <w:spacing w:after="0" w:before="0" w:line="240"/>
                    <w:jc w:val="left"/>
                  </w:pPr>
                  <w:r>
                    <w:rPr>
                      <w:rFonts w:ascii="Times New Roman" w:cs="Times New Roman" w:eastAsia="Times New Roman" w:hAnsi="Times New Roman"/>
                      <w:sz w:val="18"/>
                      <w:szCs w:val="18"/>
                    </w:rPr>
                    <w:t xml:space="preserve">16. José Airam Díaz López</w:t>
                  </w:r>
                </w:p>
              </w:tc>
              <w:tc>
                <w:tcPr>
                  <w:tcW w:type="dxa" w:w="4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/>
                  </w:r>
                </w:p>
              </w:tc>
              <w:tc>
                <w:tcPr>
                  <w:tcW w:type="dxa" w:w="3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pPr>
                    <w:spacing w:after="0" w:before="0" w:line="240"/>
                    <w:jc w:val="center"/>
                  </w:pPr>
                  <w:r>
                    <w:rPr>
                      <w:rFonts w:ascii="Times New Roman" w:cs="Times New Roman" w:eastAsia="Times New Roman" w:hAnsi="Times New Roman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>
            <w:pPr>
              <w:spacing w:after="120" w:before="0" w:line="240"/>
              <w:jc w:val="center"/>
            </w:pPr>
            <w:r>
              <w:rPr>
                <w:rFonts w:ascii="Times New Roman" w:cs="Times New Roman" w:eastAsia="Times New Roman" w:hAnsi="Times New Roman"/>
                <w:sz w:val="22"/>
                <w:szCs w:val="22"/>
              </w:rPr>
              <w:t xml:space="preserve"/>
            </w:r>
          </w:p>
          <w:p>
            <w:pPr>
              <w:spacing w:after="0" w:before="0" w:line="240"/>
              <w:jc w:val="both"/>
            </w:pPr>
            <w:r>
              <w:rPr>
                <w:rFonts w:ascii="Times New Roman" w:cs="Times New Roman" w:eastAsia="Times New Roman" w:hAnsi="Times New Roman"/>
                <w:b/>
                <w:bCs/>
                <w:sz w:val="20"/>
                <w:szCs w:val="20"/>
              </w:rPr>
              <w:t xml:space="preserve">ATENCIÓN: </w:t>
            </w:r>
            <w:r>
              <w:rPr>
                <w:rFonts w:ascii="Times New Roman" w:cs="Times New Roman" w:eastAsia="Times New Roman" w:hAnsi="Times New Roman"/>
                <w:sz w:val="20"/>
                <w:szCs w:val="20"/>
              </w:rPr>
              <w:t xml:space="preserve">El elector no debe señalar a un número de candidatos superior al número de representantes del estamento a elegir (14). En caso contrario, se anulará la papeleta (artículo 11.2 del Reglamento Electoral General).</w:t>
            </w:r>
          </w:p>
        </w:tc>
      </w:tr>
    </w:tbl>
    <w:sectPr>
      <w:pgSz w:w="11906" w:h="16838" w:orient="portrait"/>
      <w:pgMar w:top="900" w:right="1000" w:bottom="900" w:left="10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2026-09-23T15:56:43.300Z</dcterms:created>
  <dcterms:modified xsi:type="dcterms:W3CDTF">2026-09-23T15:56:43.300Z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